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png" ContentType="image/png"/>
  <Override PartName="/word/media/rId32.png" ContentType="image/png"/>
  <Override PartName="/word/media/rId40.png" ContentType="image/png"/>
  <Override PartName="/word/media/rId43.png" ContentType="image/png"/>
  <Override PartName="/word/media/rId46.png" ContentType="image/png"/>
  <Override PartName="/word/media/rId56.png" ContentType="image/png"/>
  <Override PartName="/word/media/rId59.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8.png" ContentType="image/png"/>
  <Override PartName="/word/media/rId71.png" ContentType="image/png"/>
  <Override PartName="/word/media/rId94.png" ContentType="image/png"/>
  <Override PartName="/word/media/rId97.png" ContentType="image/png"/>
  <Override PartName="/word/media/rId105.png" ContentType="image/png"/>
  <Override PartName="/word/media/rId108.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HI</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3.2</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https://github.com/Open-Systems-Pharmacology/Qualification-HI</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increased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6" w:name="hi-population-development"/>
    <w:p>
      <w:pPr>
        <w:pStyle w:val="Heading1"/>
      </w:pPr>
      <w:r>
        <w:t xml:space="preserve">HI Population Development</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jc w:val="start"/>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α1-acid-glycoprotein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w:t>
      </w:r>
      <w:r>
        <w:t xml:space="preserve"> </w:t>
      </w:r>
      <w:hyperlink r:id="rId21">
        <w:r>
          <w:rPr>
            <w:rStyle w:val="Hyperlink"/>
          </w:rPr>
          <w:t xml:space="preserve">https://github.com/Open-Systems-Pharmacology/Forum/discussions/1341</w:t>
        </w:r>
      </w:hyperlink>
      <w:r>
        <w:t xml:space="preserve">, and thus the</w:t>
      </w:r>
      <w:r>
        <w:t xml:space="preserve"> </w:t>
      </w:r>
      <w:r>
        <w:t xml:space="preserve">“</w:t>
      </w:r>
      <w:r>
        <w:t xml:space="preserve">other organs</w:t>
      </w:r>
      <w:r>
        <w:t xml:space="preserve">”</w:t>
      </w:r>
      <w:r>
        <w:t xml:space="preserve"> </w:t>
      </w:r>
      <w:r>
        <w:t xml:space="preserve">blood flow varies slightly across individuals.</w:t>
      </w:r>
    </w:p>
    <w:bookmarkStart w:id="22"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adjusted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Volumes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w:t>
      </w:r>
      <w:r>
        <w:t xml:space="preserve"> </w:t>
      </w:r>
      <w:hyperlink r:id="rId21">
        <w:r>
          <w:rPr>
            <w:rStyle w:val="Hyperlink"/>
          </w:rPr>
          <w:t xml:space="preserve">https://github.com/Open-Systems-Pharmacology/Forum/discussions/1341</w:t>
        </w:r>
      </w:hyperlink>
      <w:r>
        <w:t xml:space="preserve"> </w:t>
      </w:r>
      <w:r>
        <w:t xml:space="preserve">were applied.</w:t>
      </w:r>
    </w:p>
    <w:bookmarkEnd w:id="22"/>
    <w:bookmarkStart w:id="23"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α1-acid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α1-acid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3"/>
    <w:bookmarkStart w:id="24"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4"/>
    <w:bookmarkStart w:id="25"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Filtration). </w:t>
      </w:r>
    </w:p>
    <w:bookmarkEnd w:id="25"/>
    <w:bookmarkEnd w:id="26"/>
    <w:bookmarkStart w:id="125" w:name="compounds"/>
    <w:p>
      <w:pPr>
        <w:pStyle w:val="Heading1"/>
      </w:pPr>
      <w:r>
        <w:t xml:space="preserve">Compounds</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7" w:name="alfentanil"/>
    <w:p>
      <w:pPr>
        <w:pStyle w:val="Heading2"/>
      </w:pPr>
      <w:r>
        <w:t xml:space="preserve">Alfentanil</w:t>
      </w:r>
      <w:bookmarkStart w:id="undefined-section-4" w:name="undefined-section-4"/>
      <w:bookmarkEnd w:id="undefined-section-4"/>
    </w:p>
    <w:p>
      <w:pPr>
        <w:pStyle w:val="FirstParagraph"/>
      </w:pPr>
      <w:r>
        <w:t xml:space="preserve">Alfentanil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8" w:name="alfentanil-in-a-healthy-population"/>
    <w:p>
      <w:pPr>
        <w:pStyle w:val="Heading3"/>
      </w:pPr>
      <w:r>
        <w:t xml:space="preserve">Alfentanil in a Healthy Population</w:t>
      </w:r>
      <w:bookmarkStart w:id="alfentanil_healthy" w:name="alfentanil_healthy"/>
      <w:bookmarkEnd w:id="alfentanil_healthy"/>
    </w:p>
    <w:bookmarkStart w:id="27"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7"/>
    <w:bookmarkEnd w:id="28"/>
    <w:bookmarkStart w:id="36" w:name="alfentanil-in-a-hi-population"/>
    <w:p>
      <w:pPr>
        <w:pStyle w:val="Heading3"/>
      </w:pPr>
      <w:r>
        <w:t xml:space="preserve">Alfentanil in a HI Population</w:t>
      </w:r>
      <w:bookmarkStart w:id="alfentanil_hi" w:name="alfentanil_hi"/>
      <w:bookmarkEnd w:id="alfentanil_hi"/>
    </w:p>
    <w:bookmarkStart w:id="35"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15641"/>
            <wp:effectExtent b="0" l="0" r="0" t="0"/>
            <wp:docPr descr="" title="" id="30" name="Picture"/>
            <a:graphic>
              <a:graphicData uri="http://schemas.openxmlformats.org/drawingml/2006/picture">
                <pic:pic>
                  <pic:nvPicPr>
                    <pic:cNvPr descr="images/003_section_undefined-section-3/004_section_undefined-section-4/006_section_Alfentanil_HI/1_time_profile_plot_Alfentanil_Ferrier1985_Child_Pugh_B.png" id="31" name="Picture"/>
                    <pic:cNvPicPr>
                      <a:picLocks noChangeArrowheads="1" noChangeAspect="1"/>
                    </pic:cNvPicPr>
                  </pic:nvPicPr>
                  <pic:blipFill>
                    <a:blip r:embed="rId29"/>
                    <a:stretch>
                      <a:fillRect/>
                    </a:stretch>
                  </pic:blipFill>
                  <pic:spPr bwMode="auto">
                    <a:xfrm>
                      <a:off x="0" y="0"/>
                      <a:ext cx="5969000" cy="6615641"/>
                    </a:xfrm>
                    <a:prstGeom prst="rect">
                      <a:avLst/>
                    </a:prstGeom>
                    <a:noFill/>
                    <a:ln w="9525">
                      <a:noFill/>
                      <a:headEnd/>
                      <a:tailEnd/>
                    </a:ln>
                  </pic:spPr>
                </pic:pic>
              </a:graphicData>
            </a:graphic>
          </wp:inline>
        </w:drawing>
      </w:r>
    </w:p>
    <w:p>
      <w:pPr>
        <w:pStyle w:val="BodyText"/>
      </w:pPr>
      <w:r>
        <w:rPr>
          <w:bCs/>
          <w:b/>
        </w:rPr>
        <w:t xml:space="preserve">Figure 3-1: Ferrier 1985, Alfentanil IV 0.05 mg/kg: Simulation of the pharmacokinetics of alfentanil after a single intravenous bolus dose of 0.05 mg/kg in patients with hepatic impairment classified as Child-Pugh score B. Observed data (circles) presented as mean and standard deviation from the study by Ferrier et al [10].</w:t>
      </w:r>
    </w:p>
    <w:p>
      <w:pPr>
        <w:pStyle w:val="BodyText"/>
      </w:pPr>
      <w:r>
        <w:t xml:space="preserve"> </w:t>
      </w:r>
    </w:p>
    <w:br w:type="page"/>
    <w:p>
      <w:pPr>
        <w:pStyle w:val="BodyText"/>
      </w:pPr>
      <w:bookmarkStart w:id="figure-3-2" w:name="figure-3-2"/>
      <w:bookmarkEnd w:id="figure-3-2"/>
    </w:p>
    <w:p>
      <w:pPr>
        <w:pStyle w:val="BodyText"/>
      </w:pPr>
      <w:r>
        <w:drawing>
          <wp:inline>
            <wp:extent cx="5969000" cy="6615641"/>
            <wp:effectExtent b="0" l="0" r="0" t="0"/>
            <wp:docPr descr="" title="" id="33" name="Picture"/>
            <a:graphic>
              <a:graphicData uri="http://schemas.openxmlformats.org/drawingml/2006/picture">
                <pic:pic>
                  <pic:nvPicPr>
                    <pic:cNvPr descr="images/003_section_undefined-section-3/004_section_undefined-section-4/006_section_Alfentanil_HI/2_time_profile_plot_Alfentanil_Ferrier1985_Child_Pugh_C.png" id="34" name="Picture"/>
                    <pic:cNvPicPr>
                      <a:picLocks noChangeArrowheads="1" noChangeAspect="1"/>
                    </pic:cNvPicPr>
                  </pic:nvPicPr>
                  <pic:blipFill>
                    <a:blip r:embed="rId32"/>
                    <a:stretch>
                      <a:fillRect/>
                    </a:stretch>
                  </pic:blipFill>
                  <pic:spPr bwMode="auto">
                    <a:xfrm>
                      <a:off x="0" y="0"/>
                      <a:ext cx="5969000" cy="6615641"/>
                    </a:xfrm>
                    <a:prstGeom prst="rect">
                      <a:avLst/>
                    </a:prstGeom>
                    <a:noFill/>
                    <a:ln w="9525">
                      <a:noFill/>
                      <a:headEnd/>
                      <a:tailEnd/>
                    </a:ln>
                  </pic:spPr>
                </pic:pic>
              </a:graphicData>
            </a:graphic>
          </wp:inline>
        </w:drawing>
      </w:r>
    </w:p>
    <w:p>
      <w:pPr>
        <w:pStyle w:val="BodyText"/>
      </w:pPr>
      <w:r>
        <w:rPr>
          <w:bCs/>
          <w:b/>
        </w:rPr>
        <w:t xml:space="preserve">Figure 3-2: Ferrier 1985, Alfentanil IV 0.05 mg/kg: Simulation of the pharmacokinetics of alfentanil after a single intravenous bolus dose of 0.05 mg/kg in patients with hepatic impairment classified as Child-Pugh score C. Observed data (circles) presented as mean and standard deviation from the study by Ferrier et al [10].</w:t>
      </w:r>
    </w:p>
    <w:p>
      <w:pPr>
        <w:pStyle w:val="BodyText"/>
      </w:pPr>
      <w:r>
        <w:t xml:space="preserve"> </w:t>
      </w:r>
    </w:p>
    <w:bookmarkEnd w:id="35"/>
    <w:bookmarkEnd w:id="36"/>
    <w:bookmarkEnd w:id="37"/>
    <w:bookmarkStart w:id="51" w:name="levetiracetam"/>
    <w:p>
      <w:pPr>
        <w:pStyle w:val="Heading2"/>
      </w:pPr>
      <w:r>
        <w:t xml:space="preserve">Levetiracetam</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9" w:name="levetiracetam-in-a-healthy-population"/>
    <w:p>
      <w:pPr>
        <w:pStyle w:val="Heading3"/>
      </w:pPr>
      <w:r>
        <w:t xml:space="preserve">Levetiracetam in a Healthy Population</w:t>
      </w:r>
      <w:bookmarkStart w:id="levetiracetam_healthy" w:name="levetiracetam_healthy"/>
      <w:bookmarkEnd w:id="levetiracetam_healthy"/>
    </w:p>
    <w:bookmarkStart w:id="38"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38"/>
    <w:bookmarkEnd w:id="39"/>
    <w:bookmarkStart w:id="50" w:name="levetiracetam-in-a-hi-population"/>
    <w:p>
      <w:pPr>
        <w:pStyle w:val="Heading3"/>
      </w:pPr>
      <w:r>
        <w:t xml:space="preserve">Levetiracetam in a HI Population</w:t>
      </w:r>
      <w:bookmarkStart w:id="levetiracetam_hi" w:name="levetiracetam_hi"/>
      <w:bookmarkEnd w:id="levetiracetam_hi"/>
    </w:p>
    <w:bookmarkStart w:id="49"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161109"/>
            <wp:effectExtent b="0" l="0" r="0" t="0"/>
            <wp:docPr descr="" title="" id="41"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2" name="Picture"/>
                    <pic:cNvPicPr>
                      <a:picLocks noChangeArrowheads="1" noChangeAspect="1"/>
                    </pic:cNvPicPr>
                  </pic:nvPicPr>
                  <pic:blipFill>
                    <a:blip r:embed="rId40"/>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3-3: Brockmoller 2005, Levetiracetam PO 1000mg: Simulation of the pharmacokinetics of levetiracetam after a single oral dose of 1000 mg in patients with hepatic impairment classified as Child-Pugh score A.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4" w:name="figure-3-4"/>
      <w:bookmarkEnd w:id="figure-3-4"/>
    </w:p>
    <w:p>
      <w:pPr>
        <w:pStyle w:val="BodyText"/>
      </w:pPr>
      <w:r>
        <w:drawing>
          <wp:inline>
            <wp:extent cx="5969000" cy="4161109"/>
            <wp:effectExtent b="0" l="0" r="0" t="0"/>
            <wp:docPr descr="" title="" id="44"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5" name="Picture"/>
                    <pic:cNvPicPr>
                      <a:picLocks noChangeArrowheads="1" noChangeAspect="1"/>
                    </pic:cNvPicPr>
                  </pic:nvPicPr>
                  <pic:blipFill>
                    <a:blip r:embed="rId43"/>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3-4: Brockmoller 2005, Levetiracetam PO 1000mg: Simulation of the pharmacokinetics of levetiracetam after a single oral dose of 1000 mg in patients with hepatic impairment classified as Child-Pugh score B.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5" w:name="figure-3-5"/>
      <w:bookmarkEnd w:id="figure-3-5"/>
    </w:p>
    <w:p>
      <w:pPr>
        <w:pStyle w:val="BodyText"/>
      </w:pPr>
      <w:r>
        <w:drawing>
          <wp:inline>
            <wp:extent cx="5969000" cy="4161109"/>
            <wp:effectExtent b="0" l="0" r="0" t="0"/>
            <wp:docPr descr="" title="" id="47"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8" name="Picture"/>
                    <pic:cNvPicPr>
                      <a:picLocks noChangeArrowheads="1" noChangeAspect="1"/>
                    </pic:cNvPicPr>
                  </pic:nvPicPr>
                  <pic:blipFill>
                    <a:blip r:embed="rId4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3-5: Brockmoller 2005, Levetiracetam PO 1000mg: Simulation of the pharmacokinetics of levetiracetam after a single oral dose of 1000 mg in patients with hepatic impairment classified as Child-Pugh score C.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ookmarkEnd w:id="49"/>
    <w:bookmarkEnd w:id="50"/>
    <w:bookmarkEnd w:id="51"/>
    <w:bookmarkStart w:id="64" w:name="metoprolol"/>
    <w:p>
      <w:pPr>
        <w:pStyle w:val="Heading2"/>
      </w:pPr>
      <w:r>
        <w:t xml:space="preserve">Metoprolol</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4" w:name="metoprolol-in-a-healthy-population"/>
    <w:p>
      <w:pPr>
        <w:pStyle w:val="Heading3"/>
      </w:pPr>
      <w:r>
        <w:t xml:space="preserve">Metoprolol in a Healthy Population</w:t>
      </w:r>
      <w:bookmarkStart w:id="metoprolol_healthy" w:name="metoprolol_healthy"/>
      <w:bookmarkEnd w:id="metoprolol_healthy"/>
    </w:p>
    <w:bookmarkStart w:id="52"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2"/>
    <w:bookmarkStart w:id="53"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tartrate tablet described by a Weibull distribution with dissolution half-time of 12.31 min and shape 0.72.</w:t>
      </w:r>
    </w:p>
    <w:bookmarkEnd w:id="53"/>
    <w:bookmarkEnd w:id="54"/>
    <w:bookmarkStart w:id="63" w:name="metoprolol-in-a-hi-population"/>
    <w:p>
      <w:pPr>
        <w:pStyle w:val="Heading3"/>
      </w:pPr>
      <w:r>
        <w:t xml:space="preserve">Metoprolol in a HI Population</w:t>
      </w:r>
      <w:bookmarkStart w:id="metoprolol_hi" w:name="metoprolol_hi"/>
      <w:bookmarkEnd w:id="metoprolol_hi"/>
    </w:p>
    <w:bookmarkStart w:id="55"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variables were reported to fully assess Child-Pugh status. Based on the clinical variables that were reported,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w:t>
      </w:r>
      <w:r>
        <w:rPr>
          <w:bCs/>
          <w:b/>
        </w:rPr>
        <w:t xml:space="preserve"> </w:t>
      </w:r>
      <w:r>
        <w:rPr>
          <w:bCs/>
          <w:b/>
        </w:rPr>
        <w:t xml:space="preserve">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5"/>
    <w:bookmarkStart w:id="62"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161109"/>
            <wp:effectExtent b="0" l="0" r="0" t="0"/>
            <wp:docPr descr="" title="" id="57" name="Picture"/>
            <a:graphic>
              <a:graphicData uri="http://schemas.openxmlformats.org/drawingml/2006/picture">
                <pic:pic>
                  <pic:nvPicPr>
                    <pic:cNvPr descr="images/003_section_undefined-section-3/010_section_undefined-section-10/012_section_Metoprolol_HI/6_time_profile_plot_Metoprolol_Regardh1981_CPA_PO_Population.png" id="58" name="Picture"/>
                    <pic:cNvPicPr>
                      <a:picLocks noChangeArrowheads="1" noChangeAspect="1"/>
                    </pic:cNvPicPr>
                  </pic:nvPicPr>
                  <pic:blipFill>
                    <a:blip r:embed="rId5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3-6: Regardh 1981, Metoprolol tartrate PO 50mg: Simulation of the pharmacokinetics of metoprolol tartrate after a single oral dose of 50 mg in patients with hepatic impairment classified as Child-Pugh score A. Observed data (circles) presented as the mean concentration time profiles with standard deviation of participants enrolled in the study by Regårdh, Jordö (24).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7" w:name="figure-3-7"/>
      <w:bookmarkEnd w:id="figure-3-7"/>
    </w:p>
    <w:p>
      <w:pPr>
        <w:pStyle w:val="BodyText"/>
      </w:pPr>
      <w:r>
        <w:drawing>
          <wp:inline>
            <wp:extent cx="5969000" cy="4161109"/>
            <wp:effectExtent b="0" l="0" r="0" t="0"/>
            <wp:docPr descr="" title="" id="60" name="Picture"/>
            <a:graphic>
              <a:graphicData uri="http://schemas.openxmlformats.org/drawingml/2006/picture">
                <pic:pic>
                  <pic:nvPicPr>
                    <pic:cNvPr descr="images/003_section_undefined-section-3/010_section_undefined-section-10/012_section_Metoprolol_HI/7_time_profile_plot_Metoprolol_Regardh1981_CPB_PO_Population.png" id="61" name="Picture"/>
                    <pic:cNvPicPr>
                      <a:picLocks noChangeArrowheads="1" noChangeAspect="1"/>
                    </pic:cNvPicPr>
                  </pic:nvPicPr>
                  <pic:blipFill>
                    <a:blip r:embed="rId59"/>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2"/>
    <w:bookmarkEnd w:id="63"/>
    <w:bookmarkEnd w:id="64"/>
    <w:bookmarkStart w:id="91" w:name="midazolam"/>
    <w:p>
      <w:pPr>
        <w:pStyle w:val="Heading2"/>
      </w:pPr>
      <w:r>
        <w:t xml:space="preserve">Midazolam</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6" w:name="midazolam-in-a-healthy-population"/>
    <w:p>
      <w:pPr>
        <w:pStyle w:val="Heading3"/>
      </w:pPr>
      <w:r>
        <w:t xml:space="preserve">Midazolam in a Healthy Population</w:t>
      </w:r>
      <w:bookmarkStart w:id="midazolam_healthy" w:name="midazolam_healthy"/>
      <w:bookmarkEnd w:id="midazolam_healthy"/>
    </w:p>
    <w:bookmarkStart w:id="65"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5"/>
    <w:bookmarkEnd w:id="66"/>
    <w:bookmarkStart w:id="90" w:name="midazolam-in-a-hi-population"/>
    <w:p>
      <w:pPr>
        <w:pStyle w:val="Heading3"/>
      </w:pPr>
      <w:r>
        <w:t xml:space="preserve">Midazolam in a HI Population</w:t>
      </w:r>
      <w:bookmarkStart w:id="midazolam_hi" w:name="midazolam_hi"/>
      <w:bookmarkEnd w:id="midazolam_hi"/>
    </w:p>
    <w:bookmarkStart w:id="67"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7"/>
    <w:bookmarkStart w:id="89"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w:t>
      </w:r>
      <w:r>
        <w:rPr>
          <w:bCs/>
          <w:b/>
        </w:rPr>
        <w:t xml:space="preserve"> </w:t>
      </w:r>
      <w:r>
        <w:rPr>
          <w:bCs/>
          <w:b/>
        </w:rPr>
        <w:t xml:space="preserve">and Cmax from Andersen, Pedersen (44)</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161109"/>
            <wp:effectExtent b="0" l="0" r="0" t="0"/>
            <wp:docPr descr="" title="" id="69" name="Picture"/>
            <a:graphic>
              <a:graphicData uri="http://schemas.openxmlformats.org/drawingml/2006/picture">
                <pic:pic>
                  <pic:nvPicPr>
                    <pic:cNvPr descr="images/003_section_undefined-section-3/013_section_undefined-section-13/015_section_Midazolam_HI/8_time_profile_plot_Midazolam_Macgilchrist1986_CPA_Population.png" id="70" name="Picture"/>
                    <pic:cNvPicPr>
                      <a:picLocks noChangeArrowheads="1" noChangeAspect="1"/>
                    </pic:cNvPicPr>
                  </pic:nvPicPr>
                  <pic:blipFill>
                    <a:blip r:embed="rId68"/>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3-8: Macgilchrist 1986, Midazolam IV 0.075 mg/kg: Simulation of the pharmacokinetics of midazolam after a single intravenous dose of 0.075 mg/kg in patients with hepatic impairment classified as Child-Pugh score A.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9" w:name="figure-3-9"/>
      <w:bookmarkEnd w:id="figure-3-9"/>
    </w:p>
    <w:p>
      <w:pPr>
        <w:pStyle w:val="BodyText"/>
      </w:pPr>
      <w:r>
        <w:drawing>
          <wp:inline>
            <wp:extent cx="5969000" cy="4161109"/>
            <wp:effectExtent b="0" l="0" r="0" t="0"/>
            <wp:docPr descr="" title="" id="72" name="Picture"/>
            <a:graphic>
              <a:graphicData uri="http://schemas.openxmlformats.org/drawingml/2006/picture">
                <pic:pic>
                  <pic:nvPicPr>
                    <pic:cNvPr descr="images/003_section_undefined-section-3/013_section_undefined-section-13/015_section_Midazolam_HI/9_time_profile_plot_Midazolam_Macgilchrist1986_CPB_Population.png" id="73" name="Picture"/>
                    <pic:cNvPicPr>
                      <a:picLocks noChangeArrowheads="1" noChangeAspect="1"/>
                    </pic:cNvPicPr>
                  </pic:nvPicPr>
                  <pic:blipFill>
                    <a:blip r:embed="rId71"/>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3-9: Macgilchrist 1986, Midazolam IV 0.075 mg/kg: Simulation of the pharmacokinetics of midazolam after a single intravenous dose of 0.075 mg/kg in patients with hepatic impairment classified as Child-Pugh score B.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0" w:name="figure-3-10"/>
      <w:bookmarkEnd w:id="figure-3-10"/>
    </w:p>
    <w:p>
      <w:pPr>
        <w:pStyle w:val="BodyText"/>
      </w:pPr>
      <w:r>
        <w:drawing>
          <wp:inline>
            <wp:extent cx="5969000" cy="4161109"/>
            <wp:effectExtent b="0" l="0" r="0" t="0"/>
            <wp:docPr descr="" title="" id="75" name="Picture"/>
            <a:graphic>
              <a:graphicData uri="http://schemas.openxmlformats.org/drawingml/2006/picture">
                <pic:pic>
                  <pic:nvPicPr>
                    <pic:cNvPr descr="images/003_section_undefined-section-3/013_section_undefined-section-13/015_section_Midazolam_HI/10_time_profile_plot_Midazolam_Macgilchrist1986_CPC_Population.png" id="76" name="Picture"/>
                    <pic:cNvPicPr>
                      <a:picLocks noChangeArrowheads="1" noChangeAspect="1"/>
                    </pic:cNvPicPr>
                  </pic:nvPicPr>
                  <pic:blipFill>
                    <a:blip r:embed="rId74"/>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3-10: Macgilchrist 1986, Midazolam IV 0.075 mg/kg: Simulation of the pharmacokinetics of midazolam after a single intravenous dose of 0.075 mg/kg in patients with hepatic impairment classified as Child-Pugh score C.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1" w:name="figure-3-11"/>
      <w:bookmarkEnd w:id="figure-3-11"/>
    </w:p>
    <w:p>
      <w:pPr>
        <w:pStyle w:val="BodyText"/>
      </w:pPr>
      <w:r>
        <w:drawing>
          <wp:inline>
            <wp:extent cx="5969000" cy="4161109"/>
            <wp:effectExtent b="0" l="0" r="0" t="0"/>
            <wp:docPr descr="" title="" id="78" name="Picture"/>
            <a:graphic>
              <a:graphicData uri="http://schemas.openxmlformats.org/drawingml/2006/picture">
                <pic:pic>
                  <pic:nvPicPr>
                    <pic:cNvPr descr="images/003_section_undefined-section-3/013_section_undefined-section-13/015_section_Midazolam_HI/11_time_profile_plot_Midazolam_Pentikainen1989_IV_CPB_Population.png" id="79" name="Picture"/>
                    <pic:cNvPicPr>
                      <a:picLocks noChangeArrowheads="1" noChangeAspect="1"/>
                    </pic:cNvPicPr>
                  </pic:nvPicPr>
                  <pic:blipFill>
                    <a:blip r:embed="rId77"/>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3-11: Pentikainen 1989, Midazolam IV 7.5 mg: Simulation of the pharmacokinetics of midazolam after a single intravenous dose of 7.5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2" w:name="figure-3-12"/>
      <w:bookmarkEnd w:id="figure-3-12"/>
    </w:p>
    <w:p>
      <w:pPr>
        <w:pStyle w:val="BodyText"/>
      </w:pPr>
      <w:r>
        <w:drawing>
          <wp:inline>
            <wp:extent cx="5969000" cy="4161109"/>
            <wp:effectExtent b="0" l="0" r="0" t="0"/>
            <wp:docPr descr="" title="" id="81" name="Picture"/>
            <a:graphic>
              <a:graphicData uri="http://schemas.openxmlformats.org/drawingml/2006/picture">
                <pic:pic>
                  <pic:nvPicPr>
                    <pic:cNvPr descr="images/003_section_undefined-section-3/013_section_undefined-section-13/015_section_Midazolam_HI/12_time_profile_plot_Midazolam_Pentikainen1989_IV_CPC_Population.png" id="82" name="Picture"/>
                    <pic:cNvPicPr>
                      <a:picLocks noChangeArrowheads="1" noChangeAspect="1"/>
                    </pic:cNvPicPr>
                  </pic:nvPicPr>
                  <pic:blipFill>
                    <a:blip r:embed="rId80"/>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3-12: Pentikainen 1989, Midazolam IV 7.5 mg: Simulation of the pharmacokinetics of midazolam after a single intravenous dose of 7.5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3" w:name="figure-3-13"/>
      <w:bookmarkEnd w:id="figure-3-13"/>
    </w:p>
    <w:p>
      <w:pPr>
        <w:pStyle w:val="BodyText"/>
      </w:pPr>
      <w:r>
        <w:drawing>
          <wp:inline>
            <wp:extent cx="5969000" cy="4161109"/>
            <wp:effectExtent b="0" l="0" r="0" t="0"/>
            <wp:docPr descr="" title="" id="84" name="Picture"/>
            <a:graphic>
              <a:graphicData uri="http://schemas.openxmlformats.org/drawingml/2006/picture">
                <pic:pic>
                  <pic:nvPicPr>
                    <pic:cNvPr descr="images/003_section_undefined-section-3/013_section_undefined-section-13/015_section_Midazolam_HI/13_time_profile_plot_Midazolam_Pentikanen1889_PO_CPB_Population.png" id="85" name="Picture"/>
                    <pic:cNvPicPr>
                      <a:picLocks noChangeArrowheads="1" noChangeAspect="1"/>
                    </pic:cNvPicPr>
                  </pic:nvPicPr>
                  <pic:blipFill>
                    <a:blip r:embed="rId83"/>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3-13: Pentikainen 1989, Midazolam PO 15 mg: Simulation of the pharmacokinetics of midazolam after a single oral dose of 15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4" w:name="figure-3-14"/>
      <w:bookmarkEnd w:id="figure-3-14"/>
    </w:p>
    <w:p>
      <w:pPr>
        <w:pStyle w:val="BodyText"/>
      </w:pPr>
      <w:r>
        <w:drawing>
          <wp:inline>
            <wp:extent cx="5969000" cy="4161109"/>
            <wp:effectExtent b="0" l="0" r="0" t="0"/>
            <wp:docPr descr="" title="" id="87" name="Picture"/>
            <a:graphic>
              <a:graphicData uri="http://schemas.openxmlformats.org/drawingml/2006/picture">
                <pic:pic>
                  <pic:nvPicPr>
                    <pic:cNvPr descr="images/003_section_undefined-section-3/013_section_undefined-section-13/015_section_Midazolam_HI/14_time_profile_plot_Midazolam_Pentikanen1889_PO_CPC_Population.png" id="88" name="Picture"/>
                    <pic:cNvPicPr>
                      <a:picLocks noChangeArrowheads="1" noChangeAspect="1"/>
                    </pic:cNvPicPr>
                  </pic:nvPicPr>
                  <pic:blipFill>
                    <a:blip r:embed="rId8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3-14: Pentikainen 1989, Midazolam PO 15 mg: Simulation of the pharmacokinetics of midazolam after a single oral dose of 15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ookmarkEnd w:id="89"/>
    <w:bookmarkEnd w:id="90"/>
    <w:bookmarkEnd w:id="91"/>
    <w:bookmarkStart w:id="102" w:name="sildenafil"/>
    <w:p>
      <w:pPr>
        <w:pStyle w:val="Heading2"/>
      </w:pPr>
      <w:r>
        <w:t xml:space="preserve">Sildenafil</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3" w:name="sildenafil-in-a-healthy-population"/>
    <w:p>
      <w:pPr>
        <w:pStyle w:val="Heading3"/>
      </w:pPr>
      <w:r>
        <w:t xml:space="preserve">Sildenafil in a Healthy Population</w:t>
      </w:r>
      <w:bookmarkStart w:id="sildenafil_healthy" w:name="sildenafil_healthy"/>
      <w:bookmarkEnd w:id="sildenafil_healthy"/>
    </w:p>
    <w:bookmarkStart w:id="92"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2"/>
    <w:bookmarkEnd w:id="93"/>
    <w:bookmarkStart w:id="101" w:name="sildenafil-in-a-hi-population"/>
    <w:p>
      <w:pPr>
        <w:pStyle w:val="Heading3"/>
      </w:pPr>
      <w:r>
        <w:t xml:space="preserve">Sildenafil in a HI Population</w:t>
      </w:r>
      <w:bookmarkStart w:id="sildenafil_hi" w:name="sildenafil_hi"/>
      <w:bookmarkEnd w:id="sildenafil_hi"/>
    </w:p>
    <w:bookmarkStart w:id="100"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confirmed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w:t>
      </w:r>
      <w:r>
        <w:rPr>
          <w:bCs/>
          <w:b/>
        </w:rPr>
        <w:t xml:space="preserve"> </w:t>
      </w:r>
      <w:r>
        <w:rPr>
          <w:bCs/>
          <w:b/>
        </w:rPr>
        <w:t xml:space="preserve">and Cmax from Muirhead, Wilner (59)</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161109"/>
            <wp:effectExtent b="0" l="0" r="0" t="0"/>
            <wp:docPr descr="" title="" id="95" name="Picture"/>
            <a:graphic>
              <a:graphicData uri="http://schemas.openxmlformats.org/drawingml/2006/picture">
                <pic:pic>
                  <pic:nvPicPr>
                    <pic:cNvPr descr="images/003_section_undefined-section-3/016_section_undefined-section-16/018_section_Sildenafil_HI/15_time_profile_plot_Sildenafil_Muirhead2002_CPA_Population.png" id="96" name="Picture"/>
                    <pic:cNvPicPr>
                      <a:picLocks noChangeArrowheads="1" noChangeAspect="1"/>
                    </pic:cNvPicPr>
                  </pic:nvPicPr>
                  <pic:blipFill>
                    <a:blip r:embed="rId94"/>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3-15: Muirhead 2002, Sildenafil PO 50 mg: Simulation of the pharmacokinetics of sildenafil after a single oral dose of 50 mg in patients with hepatic impairment classified as Child-Pugh score A.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6" w:name="figure-3-16"/>
      <w:bookmarkEnd w:id="figure-3-16"/>
    </w:p>
    <w:p>
      <w:pPr>
        <w:pStyle w:val="BodyText"/>
      </w:pPr>
      <w:r>
        <w:drawing>
          <wp:inline>
            <wp:extent cx="5969000" cy="4161109"/>
            <wp:effectExtent b="0" l="0" r="0" t="0"/>
            <wp:docPr descr="" title="" id="98" name="Picture"/>
            <a:graphic>
              <a:graphicData uri="http://schemas.openxmlformats.org/drawingml/2006/picture">
                <pic:pic>
                  <pic:nvPicPr>
                    <pic:cNvPr descr="images/003_section_undefined-section-3/016_section_undefined-section-16/018_section_Sildenafil_HI/16_time_profile_plot_Sildenafil_Muirhead2002_CPB_Population.png" id="99" name="Picture"/>
                    <pic:cNvPicPr>
                      <a:picLocks noChangeArrowheads="1" noChangeAspect="1"/>
                    </pic:cNvPicPr>
                  </pic:nvPicPr>
                  <pic:blipFill>
                    <a:blip r:embed="rId97"/>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3-16: Muirhead 2002, Sildenafil PO 50 mg: Simulation of the pharmacokinetics of sildenafil after a single oral dose of 50 mg in patients with hepatic impairment classified as Child-Pugh score B.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ookmarkEnd w:id="100"/>
    <w:bookmarkEnd w:id="101"/>
    <w:bookmarkEnd w:id="102"/>
    <w:bookmarkStart w:id="113" w:name="theophylline"/>
    <w:p>
      <w:pPr>
        <w:pStyle w:val="Heading2"/>
      </w:pPr>
      <w:r>
        <w:t xml:space="preserve">Theophylline</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4" w:name="theophylline-in-a-healthy-population"/>
    <w:p>
      <w:pPr>
        <w:pStyle w:val="Heading3"/>
      </w:pPr>
      <w:r>
        <w:t xml:space="preserve">Theophylline in a Healthy Population</w:t>
      </w:r>
      <w:bookmarkStart w:id="theophylline_healthy" w:name="theophylline_healthy"/>
      <w:bookmarkEnd w:id="theophylline_healthy"/>
    </w:p>
    <w:bookmarkStart w:id="103"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3"/>
    <w:bookmarkEnd w:id="104"/>
    <w:bookmarkStart w:id="112" w:name="theophylline-in-a-hi-population"/>
    <w:p>
      <w:pPr>
        <w:pStyle w:val="Heading3"/>
      </w:pPr>
      <w:r>
        <w:t xml:space="preserve">Theophylline in a HI Population</w:t>
      </w:r>
      <w:bookmarkStart w:id="theophylline_hi" w:name="theophylline_hi"/>
      <w:bookmarkEnd w:id="theophylline_hi"/>
    </w:p>
    <w:bookmarkStart w:id="111"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clearance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29492"/>
            <wp:effectExtent b="0" l="0" r="0" t="0"/>
            <wp:docPr descr="" title="" id="106" name="Picture"/>
            <a:graphic>
              <a:graphicData uri="http://schemas.openxmlformats.org/drawingml/2006/picture">
                <pic:pic>
                  <pic:nvPicPr>
                    <pic:cNvPr descr="images/003_section_undefined-section-3/019_section_undefined-section-19/021_section_Theophylline_HI/17_time_profile_plot_Theophylline_Froomes1981_CPB_Population.png" id="107" name="Picture"/>
                    <pic:cNvPicPr>
                      <a:picLocks noChangeArrowheads="1" noChangeAspect="1"/>
                    </pic:cNvPicPr>
                  </pic:nvPicPr>
                  <pic:blipFill>
                    <a:blip r:embed="rId105"/>
                    <a:stretch>
                      <a:fillRect/>
                    </a:stretch>
                  </pic:blipFill>
                  <pic:spPr bwMode="auto">
                    <a:xfrm>
                      <a:off x="0" y="0"/>
                      <a:ext cx="5969000" cy="7029492"/>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29492"/>
            <wp:effectExtent b="0" l="0" r="0" t="0"/>
            <wp:docPr descr="" title="" id="109" name="Picture"/>
            <a:graphic>
              <a:graphicData uri="http://schemas.openxmlformats.org/drawingml/2006/picture">
                <pic:pic>
                  <pic:nvPicPr>
                    <pic:cNvPr descr="images/003_section_undefined-section-3/019_section_undefined-section-19/021_section_Theophylline_HI/18_time_profile_plot_Theophylline_Froomes1981_CPC_Population.png" id="110" name="Picture"/>
                    <pic:cNvPicPr>
                      <a:picLocks noChangeArrowheads="1" noChangeAspect="1"/>
                    </pic:cNvPicPr>
                  </pic:nvPicPr>
                  <pic:blipFill>
                    <a:blip r:embed="rId108"/>
                    <a:stretch>
                      <a:fillRect/>
                    </a:stretch>
                  </pic:blipFill>
                  <pic:spPr bwMode="auto">
                    <a:xfrm>
                      <a:off x="0" y="0"/>
                      <a:ext cx="5969000" cy="7029492"/>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1"/>
    <w:bookmarkEnd w:id="112"/>
    <w:bookmarkEnd w:id="113"/>
    <w:bookmarkStart w:id="124" w:name="lidocaine"/>
    <w:p>
      <w:pPr>
        <w:pStyle w:val="Heading2"/>
      </w:pPr>
      <w:r>
        <w:t xml:space="preserve">Lidocaine</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5" w:name="lidocaine-in-a-healthy-population"/>
    <w:p>
      <w:pPr>
        <w:pStyle w:val="Heading3"/>
      </w:pPr>
      <w:r>
        <w:t xml:space="preserve">Lidocaine in a Healthy Population</w:t>
      </w:r>
      <w:bookmarkStart w:id="lidocaine_healthy" w:name="lidocaine_healthy"/>
      <w:bookmarkEnd w:id="lidocaine_healthy"/>
    </w:p>
    <w:bookmarkStart w:id="114"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114"/>
    <w:bookmarkEnd w:id="115"/>
    <w:bookmarkStart w:id="123" w:name="lidocaine-in-a-hi-population"/>
    <w:p>
      <w:pPr>
        <w:pStyle w:val="Heading3"/>
      </w:pPr>
      <w:r>
        <w:t xml:space="preserve">Lidocaine in a HI Population</w:t>
      </w:r>
      <w:bookmarkStart w:id="lidocaine_hi" w:name="lidocaine_hi"/>
      <w:bookmarkEnd w:id="lidocaine_hi"/>
    </w:p>
    <w:bookmarkStart w:id="122"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19" w:name="figure-3-19"/>
      <w:bookmarkEnd w:id="figure-3-19"/>
    </w:p>
    <w:p>
      <w:pPr>
        <w:pStyle w:val="BodyText"/>
      </w:pPr>
      <w:r>
        <w:drawing>
          <wp:inline>
            <wp:extent cx="5969000" cy="4161109"/>
            <wp:effectExtent b="0" l="0" r="0" t="0"/>
            <wp:docPr descr="" title="" id="117" name="Picture"/>
            <a:graphic>
              <a:graphicData uri="http://schemas.openxmlformats.org/drawingml/2006/picture">
                <pic:pic>
                  <pic:nvPicPr>
                    <pic:cNvPr descr="images/003_section_undefined-section-3/022_section_undefined-section-22/024_section_Lidocaine_HI/19_time_profile_plot_Lidocaine_Orlando2003_CPA_Population.png" id="118" name="Picture"/>
                    <pic:cNvPicPr>
                      <a:picLocks noChangeArrowheads="1" noChangeAspect="1"/>
                    </pic:cNvPicPr>
                  </pic:nvPicPr>
                  <pic:blipFill>
                    <a:blip r:embed="rId11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3-19: Orlando 2003, Lidocaine IV 1 mg/kg: Simulation of the pharmacokinetics of lidocaine after a single intravenous dose of 1 mg/kg in patients with hepatic impairment classified as Child-Pugh score A.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20" w:name="figure-3-20"/>
      <w:bookmarkEnd w:id="figure-3-20"/>
    </w:p>
    <w:p>
      <w:pPr>
        <w:pStyle w:val="BodyText"/>
      </w:pPr>
      <w:r>
        <w:drawing>
          <wp:inline>
            <wp:extent cx="5969000" cy="4161109"/>
            <wp:effectExtent b="0" l="0" r="0" t="0"/>
            <wp:docPr descr="" title="" id="120" name="Picture"/>
            <a:graphic>
              <a:graphicData uri="http://schemas.openxmlformats.org/drawingml/2006/picture">
                <pic:pic>
                  <pic:nvPicPr>
                    <pic:cNvPr descr="images/003_section_undefined-section-3/022_section_undefined-section-22/024_section_Lidocaine_HI/20_time_profile_plot_Lidocaine_Orlando2003_CPC_Population.png" id="121" name="Picture"/>
                    <pic:cNvPicPr>
                      <a:picLocks noChangeArrowheads="1" noChangeAspect="1"/>
                    </pic:cNvPicPr>
                  </pic:nvPicPr>
                  <pic:blipFill>
                    <a:blip r:embed="rId119"/>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3-20: Orlando 2003, Lidocaine IV 1 mg/kg: Simulation of the pharmacokinetics of lidocaine after a single intravenous dose of 1 mg/kg in patients with hepatic impairment classified as Child-Pugh score C.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ookmarkEnd w:id="122"/>
    <w:bookmarkEnd w:id="123"/>
    <w:bookmarkEnd w:id="124"/>
    <w:bookmarkEnd w:id="125"/>
    <w:bookmarkStart w:id="133" w:name="references"/>
    <w:p>
      <w:pPr>
        <w:pStyle w:val="Heading1"/>
      </w:pPr>
      <w:r>
        <w:t xml:space="preserve">References</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w:t>
      </w:r>
      <w:r>
        <w:t xml:space="preserve"> </w:t>
      </w:r>
      <w:hyperlink r:id="rId126">
        <w:r>
          <w:rPr>
            <w:rStyle w:val="Hyperlink"/>
          </w:rPr>
          <w:t xml:space="preserve">https://github.com/Open-Systems-Pharmacology/Alfentanil-Model</w:t>
        </w:r>
      </w:hyperlink>
      <w:r>
        <w:t xml:space="preserve">.</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w:t>
      </w:r>
      <w:r>
        <w:t xml:space="preserve"> </w:t>
      </w:r>
      <w:hyperlink r:id="rId127">
        <w:r>
          <w:rPr>
            <w:rStyle w:val="Hyperlink"/>
          </w:rPr>
          <w:t xml:space="preserve">https://github.com/Open-Systems-Pharmacology/Example_Caffeine</w:t>
        </w:r>
      </w:hyperlink>
      <w:r>
        <w:t xml:space="preserv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w:t>
      </w:r>
      <w:r>
        <w:t xml:space="preserve"> </w:t>
      </w:r>
      <w:hyperlink r:id="rId128">
        <w:r>
          <w:rPr>
            <w:rStyle w:val="Hyperlink"/>
          </w:rPr>
          <w:t xml:space="preserve">https://github.com/Open-Systems-Pharmacology/Metoprolol-Model</w:t>
        </w:r>
      </w:hyperlink>
      <w:r>
        <w:t xml:space="preserve">.</w:t>
      </w:r>
    </w:p>
    <w:p>
      <w:pPr>
        <w:numPr>
          <w:ilvl w:val="0"/>
          <w:numId w:val="1001"/>
        </w:numPr>
        <w:pStyle w:val="Compact"/>
      </w:pPr>
      <w:r>
        <w:t xml:space="preserve">Rüdesheim S, Wojtyniak JG, Selzer D, Hanke N, Mahfoud F, Schwab M, et al. Physiologically Based Pharmacokinetic Modeling of Metoprolol Enantiomers and α-Hydroxymetoprolol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w:t>
      </w:r>
      <w:r>
        <w:t xml:space="preserve"> </w:t>
      </w:r>
      <w:hyperlink r:id="rId129">
        <w:r>
          <w:rPr>
            <w:rStyle w:val="Hyperlink"/>
          </w:rPr>
          <w:t xml:space="preserve">https://github.com/Open-Systems-Pharmacology/Midazolam-Model</w:t>
        </w:r>
      </w:hyperlink>
      <w:r>
        <w:t xml:space="preserve">.</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 Available from:</w:t>
      </w:r>
      <w:r>
        <w:t xml:space="preserve"> </w:t>
      </w:r>
      <w:hyperlink r:id="rId130">
        <w:r>
          <w:rPr>
            <w:rStyle w:val="Hyperlink"/>
          </w:rPr>
          <w:t xml:space="preserve">https://github.com/Open-Systems-Pharmacology/Omeprazole-Model</w:t>
        </w:r>
      </w:hyperlink>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w:t>
      </w:r>
      <w:r>
        <w:t xml:space="preserve"> </w:t>
      </w:r>
      <w:hyperlink r:id="rId131">
        <w:r>
          <w:rPr>
            <w:rStyle w:val="Hyperlink"/>
          </w:rPr>
          <w:t xml:space="preserve">https://github.com/Open-Systems-Pharmacology/Sildenafil-Model</w:t>
        </w:r>
      </w:hyperlink>
      <w:r>
        <w:t xml:space="preserve">.</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w:t>
      </w:r>
      <w:r>
        <w:t xml:space="preserve"> </w:t>
      </w:r>
      <w:hyperlink r:id="rId132">
        <w:r>
          <w:rPr>
            <w:rStyle w:val="Hyperlink"/>
          </w:rPr>
          <w:t xml:space="preserve">https://github.com/Open-Systems-Pharmacology/Theophylline-Model</w:t>
        </w:r>
      </w:hyperlink>
      <w:r>
        <w:t xml:space="preserve">.</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3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_rels/footnotes.xml.rels><?xml version="1.0" encoding="UTF-8"?><Relationships xmlns="http://schemas.openxmlformats.org/package/2006/relationships"><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HI Populations</dc:title>
  <dc:creator/>
  <cp:keywords/>
  <dcterms:created xsi:type="dcterms:W3CDTF">2024-12-02T11:09:45Z</dcterms:created>
  <dcterms:modified xsi:type="dcterms:W3CDTF">2024-12-02T11:09:45Z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Version1.0-OSP12.0OSP Version12.0Qualification Framework Version3.2This qualification report and the corresponding PK-Sim project file are filed at:https://github.com/Open-Systems-Pharmacology/Qualification-HI</vt:lpwstr>
  </property>
  <property fmtid="{D5CDD505-2E9C-101B-9397-08002B2CF9AE}" pid="3" name="subtitle">
    <vt:lpwstr/>
  </property>
</Properties>
</file>